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6D" w:rsidRPr="00E72782" w:rsidRDefault="00F5186D" w:rsidP="00077711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F5186D" w:rsidRPr="00E72782" w:rsidRDefault="00F5186D" w:rsidP="00077711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6A55A9" w:rsidRPr="00E72782" w:rsidRDefault="006A55A9" w:rsidP="00077711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Ответы и критерии оценивания для учащихся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11</w:t>
      </w: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а</w:t>
      </w:r>
    </w:p>
    <w:p w:rsidR="006A55A9" w:rsidRPr="00E72782" w:rsidRDefault="006A55A9" w:rsidP="00077711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 xml:space="preserve">Максимальное количество баллов за работу –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58</w:t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>Задание 1. Каждый правильный ответ – 1 балл. Максимум – 10 баллов.</w:t>
      </w:r>
    </w:p>
    <w:p w:rsidR="006A55A9" w:rsidRPr="005E4B80" w:rsidRDefault="006A55A9" w:rsidP="00077711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851"/>
      </w:tblGrid>
      <w:tr w:rsidR="006A55A9" w:rsidRPr="005E4B80" w:rsidTr="00077711">
        <w:tc>
          <w:tcPr>
            <w:tcW w:w="8789" w:type="dxa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851" w:type="dxa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6A55A9" w:rsidRPr="005E4B80" w:rsidTr="00077711">
        <w:tc>
          <w:tcPr>
            <w:tcW w:w="8789" w:type="dxa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Выбор только 1-го правильного ответа либо выбор всех неправильных ответов.</w:t>
            </w:r>
          </w:p>
        </w:tc>
        <w:tc>
          <w:tcPr>
            <w:tcW w:w="851" w:type="dxa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6A55A9" w:rsidRPr="005E4B80" w:rsidTr="00077711">
        <w:tc>
          <w:tcPr>
            <w:tcW w:w="8789" w:type="dxa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Выбор 2-х правильных ответов.</w:t>
            </w:r>
          </w:p>
        </w:tc>
        <w:tc>
          <w:tcPr>
            <w:tcW w:w="851" w:type="dxa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</w:tbl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sz w:val="28"/>
          <w:szCs w:val="28"/>
        </w:rPr>
        <w:t>в, е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6. </w:t>
      </w:r>
      <w:r w:rsidRPr="005E4B80">
        <w:rPr>
          <w:rFonts w:ascii="Times New Roman" w:hAnsi="Times New Roman" w:cs="Times New Roman"/>
          <w:b/>
          <w:sz w:val="28"/>
          <w:szCs w:val="28"/>
        </w:rPr>
        <w:t>а, б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sz w:val="28"/>
          <w:szCs w:val="28"/>
        </w:rPr>
        <w:t>г, д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7. </w:t>
      </w:r>
      <w:r w:rsidRPr="005E4B80">
        <w:rPr>
          <w:rFonts w:ascii="Times New Roman" w:hAnsi="Times New Roman" w:cs="Times New Roman"/>
          <w:b/>
          <w:sz w:val="28"/>
          <w:szCs w:val="28"/>
        </w:rPr>
        <w:t>б, е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Pr="005E4B80">
        <w:rPr>
          <w:rFonts w:ascii="Times New Roman" w:hAnsi="Times New Roman" w:cs="Times New Roman"/>
          <w:b/>
          <w:sz w:val="28"/>
          <w:szCs w:val="28"/>
        </w:rPr>
        <w:t>а, в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8. </w:t>
      </w:r>
      <w:r w:rsidRPr="005E4B80">
        <w:rPr>
          <w:rFonts w:ascii="Times New Roman" w:hAnsi="Times New Roman" w:cs="Times New Roman"/>
          <w:b/>
          <w:sz w:val="28"/>
          <w:szCs w:val="28"/>
        </w:rPr>
        <w:t>в, д</w:t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sz w:val="28"/>
          <w:szCs w:val="28"/>
        </w:rPr>
        <w:t>б, д</w:t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9. </w:t>
      </w:r>
      <w:r w:rsidRPr="005E4B80">
        <w:rPr>
          <w:rFonts w:ascii="Times New Roman" w:hAnsi="Times New Roman" w:cs="Times New Roman"/>
          <w:b/>
          <w:sz w:val="28"/>
          <w:szCs w:val="28"/>
        </w:rPr>
        <w:t>б, в</w:t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</w:t>
      </w:r>
      <w:r w:rsidRPr="005E4B80">
        <w:rPr>
          <w:rFonts w:ascii="Times New Roman" w:hAnsi="Times New Roman" w:cs="Times New Roman"/>
          <w:b/>
          <w:sz w:val="28"/>
          <w:szCs w:val="28"/>
        </w:rPr>
        <w:t>а, г</w:t>
      </w:r>
      <w:r w:rsidRPr="005E4B80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10. </w:t>
      </w:r>
      <w:r w:rsidRPr="005E4B80">
        <w:rPr>
          <w:rFonts w:ascii="Times New Roman" w:hAnsi="Times New Roman" w:cs="Times New Roman"/>
          <w:b/>
          <w:sz w:val="28"/>
          <w:szCs w:val="28"/>
        </w:rPr>
        <w:t>б, г</w:t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>Задание 2. Максимум – 15 баллов.</w:t>
      </w:r>
    </w:p>
    <w:p w:rsidR="006A55A9" w:rsidRPr="005E4B80" w:rsidRDefault="006A55A9" w:rsidP="00077711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4"/>
        <w:gridCol w:w="868"/>
      </w:tblGrid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07771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55A9" w:rsidRPr="005E4B80" w:rsidRDefault="006A55A9" w:rsidP="00077711">
      <w:pPr>
        <w:pStyle w:val="a6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5E4B80">
        <w:rPr>
          <w:b/>
          <w:sz w:val="28"/>
          <w:szCs w:val="28"/>
        </w:rPr>
        <w:t xml:space="preserve">11. Да. </w:t>
      </w:r>
      <w:r w:rsidRPr="005E4B80">
        <w:rPr>
          <w:sz w:val="28"/>
          <w:szCs w:val="28"/>
        </w:rPr>
        <w:t>Для любого организма, живущего в водной среде, огромное значение имеет световой режим. В результате отражения от поверхности воды значительной части солнечных лучей и поглощения другой части толщей воды интенсивность света в воде носит сильно ослабленный характер. Вода неодинаково поглощает лучи, относящиеся к разным участкам солнечного спектра. К водорослям, обитающим на большой глубине, солнечный свет будет доходить в измененном составе. Относительно хорошо сквозь толщу воды проходят синие и зеленые лучи. В то же время происходит сильное поглощение красных и желтых лучей. А так как на большой глубине хлорофилл плохо справляется с задержанием зеленых лучей, то в дело включается красный пигмент, легко поглощающий синие и зеленые лучи солнечного спектра и тем самым улучшающий процесс фотосинтеза. Поэтому красные (бурые) водоросли являются обитателями глубоководных экосистем (морей, океанов), а зеленые водоросли распространены в более мелких водоемах, таких как реки, озера или пруды.</w:t>
      </w:r>
    </w:p>
    <w:p w:rsidR="006A55A9" w:rsidRPr="00077711" w:rsidRDefault="006A55A9" w:rsidP="00077711">
      <w:pPr>
        <w:contextualSpacing/>
        <w:jc w:val="both"/>
        <w:rPr>
          <w:rFonts w:ascii="Times New Roman" w:hAnsi="Times New Roman" w:cs="Times New Roman"/>
          <w:b/>
          <w:spacing w:val="-20"/>
          <w:sz w:val="28"/>
          <w:szCs w:val="28"/>
          <w:highlight w:val="yellow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>12. Нет.</w:t>
      </w:r>
      <w:r w:rsidRPr="005E4B80">
        <w:rPr>
          <w:rFonts w:ascii="Times New Roman" w:hAnsi="Times New Roman" w:cs="Times New Roman"/>
          <w:sz w:val="28"/>
          <w:szCs w:val="28"/>
        </w:rPr>
        <w:t xml:space="preserve"> </w:t>
      </w:r>
      <w:r w:rsidRPr="005E4B80">
        <w:rPr>
          <w:rFonts w:ascii="Times New Roman" w:hAnsi="Times New Roman" w:cs="Times New Roman"/>
          <w:i/>
          <w:sz w:val="28"/>
          <w:szCs w:val="28"/>
        </w:rPr>
        <w:t xml:space="preserve">Санитарно-защитная зона </w:t>
      </w:r>
      <w:r w:rsidRPr="005E4B80">
        <w:rPr>
          <w:rFonts w:ascii="Times New Roman" w:hAnsi="Times New Roman" w:cs="Times New Roman"/>
          <w:sz w:val="28"/>
          <w:szCs w:val="28"/>
        </w:rPr>
        <w:t xml:space="preserve">представляет собой специальную территорию, отделяющую территорию объектов и производств, являющихся источниками неблагоприятного воздействия на среду обитания и здоровье человека, от жилой застройки и имеющую особый режим использования. А примыкающая к акватории поверхностных водных объектов территория со специальным режимом хозяйственной и иных видов деятельности, призванная предотвращать их загрязнение, засорение, заиление и истощение водных объектов животного и растительного мира, носит название </w:t>
      </w:r>
      <w:proofErr w:type="spellStart"/>
      <w:r w:rsidRPr="00077711">
        <w:rPr>
          <w:rFonts w:ascii="Times New Roman" w:hAnsi="Times New Roman" w:cs="Times New Roman"/>
          <w:i/>
          <w:spacing w:val="-20"/>
          <w:sz w:val="28"/>
          <w:szCs w:val="28"/>
        </w:rPr>
        <w:t>водоохранной</w:t>
      </w:r>
      <w:proofErr w:type="spellEnd"/>
      <w:r w:rsidRPr="00077711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зоны</w:t>
      </w:r>
      <w:r w:rsidRPr="00077711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6A55A9" w:rsidRPr="005E4B80" w:rsidRDefault="006A55A9" w:rsidP="00077711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 w:rsidRPr="005E4B80">
        <w:rPr>
          <w:b/>
          <w:sz w:val="28"/>
          <w:szCs w:val="28"/>
        </w:rPr>
        <w:t>13.</w:t>
      </w:r>
      <w:r w:rsidRPr="005E4B80">
        <w:rPr>
          <w:rStyle w:val="apple-converted-space"/>
          <w:sz w:val="28"/>
          <w:szCs w:val="28"/>
        </w:rPr>
        <w:t xml:space="preserve"> </w:t>
      </w:r>
      <w:r w:rsidRPr="005E4B80">
        <w:rPr>
          <w:b/>
          <w:sz w:val="28"/>
          <w:szCs w:val="28"/>
        </w:rPr>
        <w:t xml:space="preserve">Нет. </w:t>
      </w:r>
      <w:r w:rsidRPr="005E4B80">
        <w:rPr>
          <w:sz w:val="28"/>
          <w:szCs w:val="28"/>
        </w:rPr>
        <w:t xml:space="preserve">К </w:t>
      </w:r>
      <w:r w:rsidRPr="005E4B80">
        <w:rPr>
          <w:i/>
          <w:sz w:val="28"/>
          <w:szCs w:val="28"/>
        </w:rPr>
        <w:t>убиквистам</w:t>
      </w:r>
      <w:r w:rsidRPr="005E4B80">
        <w:rPr>
          <w:sz w:val="28"/>
          <w:szCs w:val="28"/>
        </w:rPr>
        <w:t xml:space="preserve"> относят виды, способные к существованию в разнообразных условиях среды, имеющие обширные ареалы. Это животные и растения с широкой экологической валентностью. А кенгуру и коала являются представителями фауны Австралии и прилегающих островов, то есть имеют небольшой ограниченный ареал, следовательно, не могут быть отнесены к группе убиквистов, а являются представителями группы </w:t>
      </w:r>
      <w:r w:rsidRPr="005E4B80">
        <w:rPr>
          <w:i/>
          <w:sz w:val="28"/>
          <w:szCs w:val="28"/>
        </w:rPr>
        <w:t>эндемиков</w:t>
      </w:r>
      <w:r w:rsidRPr="005E4B80">
        <w:rPr>
          <w:sz w:val="28"/>
          <w:szCs w:val="28"/>
        </w:rPr>
        <w:t>.</w:t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 xml:space="preserve">14. Нет. </w:t>
      </w:r>
      <w:proofErr w:type="spellStart"/>
      <w:r w:rsidRPr="005E4B80">
        <w:rPr>
          <w:rFonts w:ascii="Times New Roman" w:hAnsi="Times New Roman" w:cs="Times New Roman"/>
          <w:i/>
          <w:sz w:val="28"/>
          <w:szCs w:val="28"/>
        </w:rPr>
        <w:t>Биоиндикация</w:t>
      </w:r>
      <w:proofErr w:type="spellEnd"/>
      <w:r w:rsidRPr="005E4B80">
        <w:rPr>
          <w:rFonts w:ascii="Times New Roman" w:hAnsi="Times New Roman" w:cs="Times New Roman"/>
          <w:sz w:val="28"/>
          <w:szCs w:val="28"/>
        </w:rPr>
        <w:t xml:space="preserve"> обычно характеризует результат загрязнения и может быть осуществлена на уровне организма, популяции и сообщества. А на уровне молекулы, клетки и организма проводится, как правило, </w:t>
      </w:r>
      <w:r w:rsidRPr="005E4B80">
        <w:rPr>
          <w:rFonts w:ascii="Times New Roman" w:hAnsi="Times New Roman" w:cs="Times New Roman"/>
          <w:i/>
          <w:sz w:val="28"/>
          <w:szCs w:val="28"/>
        </w:rPr>
        <w:t>биотестирование</w:t>
      </w:r>
      <w:r w:rsidRPr="005E4B80">
        <w:rPr>
          <w:rFonts w:ascii="Times New Roman" w:hAnsi="Times New Roman" w:cs="Times New Roman"/>
          <w:sz w:val="28"/>
          <w:szCs w:val="28"/>
        </w:rPr>
        <w:t xml:space="preserve">, которое и характеризует возможные последствия загрязнения объектов окружающей среды для </w:t>
      </w:r>
      <w:proofErr w:type="spellStart"/>
      <w:r w:rsidRPr="005E4B80">
        <w:rPr>
          <w:rFonts w:ascii="Times New Roman" w:hAnsi="Times New Roman" w:cs="Times New Roman"/>
          <w:sz w:val="28"/>
          <w:szCs w:val="28"/>
        </w:rPr>
        <w:t>биоты</w:t>
      </w:r>
      <w:proofErr w:type="spellEnd"/>
      <w:r w:rsidRPr="005E4B80">
        <w:rPr>
          <w:rFonts w:ascii="Times New Roman" w:hAnsi="Times New Roman" w:cs="Times New Roman"/>
          <w:sz w:val="28"/>
          <w:szCs w:val="28"/>
        </w:rPr>
        <w:t>.</w:t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B80">
        <w:rPr>
          <w:rFonts w:ascii="Times New Roman" w:hAnsi="Times New Roman" w:cs="Times New Roman"/>
          <w:b/>
          <w:sz w:val="28"/>
          <w:szCs w:val="28"/>
        </w:rPr>
        <w:t xml:space="preserve">15. Нет. </w:t>
      </w:r>
      <w:r w:rsidRPr="005E4B80">
        <w:rPr>
          <w:rFonts w:ascii="Times New Roman" w:hAnsi="Times New Roman" w:cs="Times New Roman"/>
          <w:sz w:val="28"/>
          <w:szCs w:val="28"/>
        </w:rPr>
        <w:t>Между понятиями «экологический кризис» и «экологическая катастрофа» существует принципиальная разница. Экологическая катастрофа – явление необратимое. Человеку здесь отведена роль пассивной, страдающей стороны. Тогда как при экологическом кризисе, являющемся обратимым явлением, человек – активно действующая сторона.</w:t>
      </w:r>
    </w:p>
    <w:p w:rsidR="006A55A9" w:rsidRPr="005E4B80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3. Максимум – 9 баллов. </w:t>
      </w:r>
    </w:p>
    <w:p w:rsidR="006A55A9" w:rsidRPr="005E4B80" w:rsidRDefault="006A55A9" w:rsidP="00077711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4B80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4"/>
        <w:gridCol w:w="868"/>
      </w:tblGrid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5A9" w:rsidRPr="005E4B80" w:rsidTr="00C045E8">
        <w:tc>
          <w:tcPr>
            <w:tcW w:w="4562" w:type="pct"/>
            <w:vAlign w:val="center"/>
          </w:tcPr>
          <w:p w:rsidR="006A55A9" w:rsidRPr="005E4B80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07771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6A55A9" w:rsidRPr="005E4B80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B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sz w:val="28"/>
          <w:szCs w:val="28"/>
        </w:rPr>
        <w:t>16. Ответ г) 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Использование растительноядных рыб позволяет естественным путем уничтожать водоросли, которые активно разрастаются в теплой воде прудов-охладителей, тем самым создавая трофические цепи. </w:t>
      </w:r>
      <w:proofErr w:type="gramStart"/>
      <w:r w:rsidRPr="00EA30EE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EA30EE">
        <w:rPr>
          <w:rFonts w:ascii="Times New Roman" w:hAnsi="Times New Roman" w:cs="Times New Roman"/>
          <w:sz w:val="28"/>
          <w:szCs w:val="28"/>
        </w:rPr>
        <w:t xml:space="preserve"> при этом не наблюдается химическое загрязнение воды.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17. </w:t>
      </w:r>
      <w:r w:rsidRPr="00EA30EE">
        <w:rPr>
          <w:rFonts w:ascii="Times New Roman" w:hAnsi="Times New Roman" w:cs="Times New Roman"/>
          <w:b/>
          <w:sz w:val="28"/>
          <w:szCs w:val="28"/>
        </w:rPr>
        <w:t>Ответ г) 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Предельно допустимая концентрация – это концентрация загрязняющего вещества, которая при повседневном влиянии в течение длительного времени не вызывает ухудшение здоровья человека. Чем выше значение ПДК, тем более безопасно вещество, чем ниже значение ПДК, тем более опасно.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18. </w:t>
      </w:r>
      <w:r w:rsidRPr="00EA30EE">
        <w:rPr>
          <w:rFonts w:ascii="Times New Roman" w:hAnsi="Times New Roman" w:cs="Times New Roman"/>
          <w:b/>
          <w:sz w:val="28"/>
          <w:szCs w:val="28"/>
        </w:rPr>
        <w:t>Ответ б) 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Твердые взвешенные частицы легко удаляются из толщи воды либо в результате фильтрования, либо в результате отстаивания, когда под действием силы тяжести твердые частицы опускаются на дно отстойника. 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0EE">
        <w:rPr>
          <w:rFonts w:ascii="Times New Roman" w:hAnsi="Times New Roman" w:cs="Times New Roman"/>
          <w:sz w:val="28"/>
          <w:szCs w:val="28"/>
        </w:rPr>
        <w:t xml:space="preserve"> отстаивание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EA30EE">
        <w:rPr>
          <w:rFonts w:ascii="Times New Roman" w:hAnsi="Times New Roman" w:cs="Times New Roman"/>
          <w:sz w:val="28"/>
          <w:szCs w:val="28"/>
        </w:rPr>
        <w:t>наиболее дешевый способ очистки сточных вод, не требующий существенных материальных затрат.</w:t>
      </w:r>
    </w:p>
    <w:p w:rsidR="006A55A9" w:rsidRPr="00EA30EE" w:rsidRDefault="006A55A9" w:rsidP="00077711">
      <w:pPr>
        <w:tabs>
          <w:tab w:val="left" w:pos="284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30EE">
        <w:rPr>
          <w:rFonts w:ascii="Times New Roman" w:hAnsi="Times New Roman" w:cs="Times New Roman"/>
          <w:b/>
          <w:color w:val="auto"/>
          <w:sz w:val="28"/>
          <w:szCs w:val="28"/>
        </w:rPr>
        <w:t>Задание 4. Максимум – 24 балла.</w:t>
      </w:r>
    </w:p>
    <w:p w:rsidR="006A55A9" w:rsidRPr="00EA30EE" w:rsidRDefault="006A55A9" w:rsidP="00077711">
      <w:pPr>
        <w:tabs>
          <w:tab w:val="left" w:pos="28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A30EE">
        <w:rPr>
          <w:rFonts w:ascii="Times New Roman" w:hAnsi="Times New Roman" w:cs="Times New Roman"/>
          <w:color w:val="auto"/>
          <w:sz w:val="28"/>
          <w:szCs w:val="28"/>
        </w:rPr>
        <w:t>Шкала для проверки конкурсной задачи с обоснованием ответа: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4"/>
        <w:gridCol w:w="868"/>
      </w:tblGrid>
      <w:tr w:rsidR="006A55A9" w:rsidRPr="00EA30EE" w:rsidTr="00C045E8">
        <w:tc>
          <w:tcPr>
            <w:tcW w:w="4562" w:type="pct"/>
            <w:vAlign w:val="center"/>
          </w:tcPr>
          <w:p w:rsidR="006A55A9" w:rsidRPr="00EA30EE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Показатель</w:t>
            </w:r>
          </w:p>
        </w:tc>
        <w:tc>
          <w:tcPr>
            <w:tcW w:w="438" w:type="pct"/>
            <w:vAlign w:val="center"/>
          </w:tcPr>
          <w:p w:rsidR="006A55A9" w:rsidRPr="00EA30EE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Балл</w:t>
            </w:r>
          </w:p>
        </w:tc>
      </w:tr>
      <w:tr w:rsidR="006A55A9" w:rsidRPr="00EA30EE" w:rsidTr="00C045E8">
        <w:tc>
          <w:tcPr>
            <w:tcW w:w="4562" w:type="pct"/>
            <w:vAlign w:val="center"/>
          </w:tcPr>
          <w:p w:rsidR="006A55A9" w:rsidRPr="00EA30EE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sz w:val="28"/>
                <w:szCs w:val="28"/>
              </w:rPr>
              <w:t>Отсутствует обоснование ответа или сформулировано ошибочное обоснование.</w:t>
            </w:r>
          </w:p>
        </w:tc>
        <w:tc>
          <w:tcPr>
            <w:tcW w:w="438" w:type="pct"/>
          </w:tcPr>
          <w:p w:rsidR="006A55A9" w:rsidRPr="00EA30EE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55A9" w:rsidRPr="00EA30EE" w:rsidTr="00C045E8">
        <w:tc>
          <w:tcPr>
            <w:tcW w:w="4562" w:type="pct"/>
            <w:vAlign w:val="center"/>
          </w:tcPr>
          <w:p w:rsidR="006A55A9" w:rsidRPr="00EA30EE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sz w:val="28"/>
                <w:szCs w:val="28"/>
              </w:rPr>
              <w:t>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нет).</w:t>
            </w:r>
          </w:p>
        </w:tc>
        <w:tc>
          <w:tcPr>
            <w:tcW w:w="438" w:type="pct"/>
          </w:tcPr>
          <w:p w:rsidR="006A55A9" w:rsidRPr="00EA30EE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55A9" w:rsidRPr="00EA30EE" w:rsidTr="00C045E8">
        <w:tc>
          <w:tcPr>
            <w:tcW w:w="4562" w:type="pct"/>
            <w:vAlign w:val="center"/>
          </w:tcPr>
          <w:p w:rsidR="006A55A9" w:rsidRPr="00EA30EE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sz w:val="28"/>
                <w:szCs w:val="28"/>
              </w:rPr>
              <w:t>Полное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438" w:type="pct"/>
          </w:tcPr>
          <w:p w:rsidR="006A55A9" w:rsidRPr="00EA30EE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55A9" w:rsidRPr="00EA30EE" w:rsidTr="00C045E8">
        <w:tc>
          <w:tcPr>
            <w:tcW w:w="4562" w:type="pct"/>
            <w:vAlign w:val="center"/>
          </w:tcPr>
          <w:p w:rsidR="006A55A9" w:rsidRPr="00EA30EE" w:rsidRDefault="006A55A9" w:rsidP="00077711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sz w:val="28"/>
                <w:szCs w:val="28"/>
              </w:rPr>
              <w:t xml:space="preserve">Полное, логичное, чётко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понятий) </w:t>
            </w:r>
            <w:r w:rsidRPr="0007771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с примерами</w:t>
            </w:r>
          </w:p>
        </w:tc>
        <w:tc>
          <w:tcPr>
            <w:tcW w:w="438" w:type="pct"/>
          </w:tcPr>
          <w:p w:rsidR="006A55A9" w:rsidRPr="00EA30EE" w:rsidRDefault="006A55A9" w:rsidP="00077711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19. </w:t>
      </w:r>
      <w:proofErr w:type="gramStart"/>
      <w:r w:rsidRPr="00EA30EE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EA30EE">
        <w:rPr>
          <w:rFonts w:ascii="Times New Roman" w:hAnsi="Times New Roman" w:cs="Times New Roman"/>
          <w:b/>
          <w:sz w:val="28"/>
          <w:szCs w:val="28"/>
        </w:rPr>
        <w:t xml:space="preserve"> а) 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Наличие яиц гельминтов относится к санитарно-гельминтологическим показателям почвы. Они позволяют оценить санитарную безопасность почвы с позиции риска возникновения паразитарных заболеваний (гельминтозов)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sz w:val="28"/>
          <w:szCs w:val="28"/>
        </w:rPr>
        <w:t>Ответ б) неверный: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Значение кислотности почв относится к химическим показателям качества почв.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sz w:val="28"/>
          <w:szCs w:val="28"/>
        </w:rPr>
        <w:t>Ответ в) неверный: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Влажность почвы относится к физическим показателям качества почв. Не оказывает влияния на гигиеническую оценку почвы.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sz w:val="28"/>
          <w:szCs w:val="28"/>
        </w:rPr>
        <w:t>Ответ г) неверный: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Окраска почвы относится к морфологическим характеристикам почвы. Она обусловлена наличием органических веществ и минералов, и не оказывает влияния на гигиеническую оценку почвы.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30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20. </w:t>
      </w:r>
      <w:proofErr w:type="gramStart"/>
      <w:r w:rsidRPr="00EA30EE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End"/>
      <w:r w:rsidRPr="00EA30EE">
        <w:rPr>
          <w:rFonts w:ascii="Times New Roman" w:hAnsi="Times New Roman" w:cs="Times New Roman"/>
          <w:b/>
          <w:sz w:val="28"/>
          <w:szCs w:val="28"/>
        </w:rPr>
        <w:t xml:space="preserve"> а) неверный: </w:t>
      </w:r>
      <w:r w:rsidRPr="00EA30EE">
        <w:rPr>
          <w:rFonts w:ascii="Times New Roman" w:hAnsi="Times New Roman" w:cs="Times New Roman"/>
          <w:sz w:val="28"/>
          <w:szCs w:val="28"/>
        </w:rPr>
        <w:t>Одним из принципов рационального природопользования является интенсивное ведение хозяйственной деятельности. Экстенсивное земледелие (увеличение площадей распаханных земель) относится к нерациональному природопользованию.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sz w:val="28"/>
          <w:szCs w:val="28"/>
        </w:rPr>
        <w:t>Ответ б) неверный: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Среди принципов рационального природопользования можно выделить более полное использование отходов производства и потребления, что означает их переработку, а не захоронение и складирование на полигонах (свалках). 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sz w:val="28"/>
          <w:szCs w:val="28"/>
        </w:rPr>
        <w:t>Ответ в) 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Оборотное водоснабжение – система повторного использования воды на производстве после ее охлаждения и очистки. Такая система позволяет экономить воду и снижать процент сбрасываемых и забираемых из водоемов вод. </w:t>
      </w:r>
    </w:p>
    <w:p w:rsidR="006A55A9" w:rsidRPr="00EA30EE" w:rsidRDefault="006A55A9" w:rsidP="00077711">
      <w:pPr>
        <w:jc w:val="both"/>
        <w:rPr>
          <w:rFonts w:ascii="Times New Roman" w:hAnsi="Times New Roman" w:cs="Times New Roman"/>
          <w:sz w:val="28"/>
          <w:szCs w:val="28"/>
        </w:rPr>
      </w:pPr>
      <w:r w:rsidRPr="00EA30EE">
        <w:rPr>
          <w:rFonts w:ascii="Times New Roman" w:hAnsi="Times New Roman" w:cs="Times New Roman"/>
          <w:b/>
          <w:sz w:val="28"/>
          <w:szCs w:val="28"/>
        </w:rPr>
        <w:t>Ответ г) неверный:</w:t>
      </w:r>
      <w:r w:rsidRPr="00EA30EE">
        <w:rPr>
          <w:rFonts w:ascii="Times New Roman" w:hAnsi="Times New Roman" w:cs="Times New Roman"/>
          <w:sz w:val="28"/>
          <w:szCs w:val="28"/>
        </w:rPr>
        <w:t xml:space="preserve"> Интенсивное уничтожение лесных ресурсов без проведения восстановительных работ приводит к истощению природных ресурсов, а значит, является нерациональным природопользованием. </w:t>
      </w:r>
    </w:p>
    <w:p w:rsidR="00F5186D" w:rsidRPr="00AA3238" w:rsidRDefault="00F5186D" w:rsidP="00077711"/>
    <w:sectPr w:rsidR="00F5186D" w:rsidRPr="00AA3238" w:rsidSect="00087878">
      <w:footerReference w:type="default" r:id="rId6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83" w:rsidRDefault="00AD3083" w:rsidP="00685F22">
      <w:r>
        <w:separator/>
      </w:r>
    </w:p>
  </w:endnote>
  <w:endnote w:type="continuationSeparator" w:id="0">
    <w:p w:rsidR="00AD3083" w:rsidRDefault="00AD3083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798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7711" w:rsidRPr="00077711" w:rsidRDefault="00801916" w:rsidP="00077711">
        <w:pPr>
          <w:pStyle w:val="aa"/>
          <w:jc w:val="center"/>
          <w:rPr>
            <w:rFonts w:ascii="Times New Roman" w:hAnsi="Times New Roman" w:cs="Times New Roman"/>
          </w:rPr>
        </w:pPr>
        <w:r w:rsidRPr="00077711">
          <w:rPr>
            <w:rFonts w:ascii="Times New Roman" w:hAnsi="Times New Roman" w:cs="Times New Roman"/>
          </w:rPr>
          <w:fldChar w:fldCharType="begin"/>
        </w:r>
        <w:r w:rsidR="00077711" w:rsidRPr="00077711">
          <w:rPr>
            <w:rFonts w:ascii="Times New Roman" w:hAnsi="Times New Roman" w:cs="Times New Roman"/>
          </w:rPr>
          <w:instrText xml:space="preserve"> PAGE   \* MERGEFORMAT </w:instrText>
        </w:r>
        <w:r w:rsidRPr="00077711">
          <w:rPr>
            <w:rFonts w:ascii="Times New Roman" w:hAnsi="Times New Roman" w:cs="Times New Roman"/>
          </w:rPr>
          <w:fldChar w:fldCharType="separate"/>
        </w:r>
        <w:r w:rsidR="00087878">
          <w:rPr>
            <w:rFonts w:ascii="Times New Roman" w:hAnsi="Times New Roman" w:cs="Times New Roman"/>
            <w:noProof/>
          </w:rPr>
          <w:t>4</w:t>
        </w:r>
        <w:r w:rsidRPr="0007771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83" w:rsidRDefault="00AD3083" w:rsidP="00685F22">
      <w:r>
        <w:separator/>
      </w:r>
    </w:p>
  </w:footnote>
  <w:footnote w:type="continuationSeparator" w:id="0">
    <w:p w:rsidR="00AD3083" w:rsidRDefault="00AD3083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077711"/>
    <w:rsid w:val="00087878"/>
    <w:rsid w:val="001165E1"/>
    <w:rsid w:val="002566B5"/>
    <w:rsid w:val="003723CE"/>
    <w:rsid w:val="0046307F"/>
    <w:rsid w:val="004B1F5E"/>
    <w:rsid w:val="00614507"/>
    <w:rsid w:val="00617F52"/>
    <w:rsid w:val="00685F22"/>
    <w:rsid w:val="006A55A9"/>
    <w:rsid w:val="00801916"/>
    <w:rsid w:val="00895098"/>
    <w:rsid w:val="009674B9"/>
    <w:rsid w:val="00A30DA3"/>
    <w:rsid w:val="00AA3238"/>
    <w:rsid w:val="00AD3083"/>
    <w:rsid w:val="00DB6008"/>
    <w:rsid w:val="00F14F78"/>
    <w:rsid w:val="00F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230F2-1F71-4F64-908B-0788DB9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B600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14F78"/>
  </w:style>
  <w:style w:type="paragraph" w:styleId="a8">
    <w:name w:val="header"/>
    <w:basedOn w:val="a"/>
    <w:link w:val="a9"/>
    <w:uiPriority w:val="99"/>
    <w:semiHidden/>
    <w:unhideWhenUsed/>
    <w:rsid w:val="000777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7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777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7771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787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87878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СтенищинаЕН</cp:lastModifiedBy>
  <cp:revision>3</cp:revision>
  <cp:lastPrinted>2017-12-05T07:39:00Z</cp:lastPrinted>
  <dcterms:created xsi:type="dcterms:W3CDTF">2017-12-05T06:50:00Z</dcterms:created>
  <dcterms:modified xsi:type="dcterms:W3CDTF">2017-12-05T07:41:00Z</dcterms:modified>
</cp:coreProperties>
</file>